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4A" w:rsidRDefault="00E36B19" w:rsidP="00872F4A">
      <w:pPr>
        <w:pStyle w:val="a3"/>
        <w:widowControl/>
        <w:spacing w:before="300" w:beforeAutospacing="0" w:afterAutospacing="0" w:line="378" w:lineRule="atLeast"/>
        <w:rPr>
          <w:rFonts w:hint="eastAsia"/>
          <w:b/>
          <w:color w:val="000000"/>
          <w:sz w:val="18"/>
          <w:szCs w:val="18"/>
        </w:rPr>
      </w:pPr>
      <w:r w:rsidRPr="00872F4A">
        <w:rPr>
          <w:b/>
          <w:color w:val="000000"/>
          <w:sz w:val="18"/>
          <w:szCs w:val="18"/>
        </w:rPr>
        <w:t>附件：</w:t>
      </w:r>
    </w:p>
    <w:p w:rsidR="007C5C83" w:rsidRPr="00872F4A" w:rsidRDefault="00E36B19" w:rsidP="00E36B19">
      <w:pPr>
        <w:pStyle w:val="a3"/>
        <w:widowControl/>
        <w:spacing w:before="300" w:beforeAutospacing="0" w:afterAutospacing="0" w:line="378" w:lineRule="atLeast"/>
        <w:jc w:val="center"/>
        <w:rPr>
          <w:b/>
          <w:color w:val="000000"/>
          <w:sz w:val="36"/>
          <w:szCs w:val="36"/>
        </w:rPr>
      </w:pPr>
      <w:r w:rsidRPr="00872F4A">
        <w:rPr>
          <w:b/>
          <w:color w:val="000000"/>
          <w:sz w:val="36"/>
          <w:szCs w:val="36"/>
        </w:rPr>
        <w:t>2016</w:t>
      </w:r>
      <w:r w:rsidRPr="00872F4A">
        <w:rPr>
          <w:b/>
          <w:color w:val="000000"/>
          <w:sz w:val="36"/>
          <w:szCs w:val="36"/>
        </w:rPr>
        <w:t>年云南省工业企业能效</w:t>
      </w:r>
      <w:r w:rsidRPr="00872F4A">
        <w:rPr>
          <w:b/>
          <w:color w:val="000000"/>
          <w:sz w:val="36"/>
          <w:szCs w:val="36"/>
        </w:rPr>
        <w:t>“</w:t>
      </w:r>
      <w:r w:rsidRPr="00872F4A">
        <w:rPr>
          <w:b/>
          <w:color w:val="000000"/>
          <w:sz w:val="36"/>
          <w:szCs w:val="36"/>
        </w:rPr>
        <w:t>领跑者</w:t>
      </w:r>
      <w:r w:rsidRPr="00872F4A">
        <w:rPr>
          <w:b/>
          <w:color w:val="000000"/>
          <w:sz w:val="36"/>
          <w:szCs w:val="36"/>
        </w:rPr>
        <w:t>”</w:t>
      </w:r>
      <w:r w:rsidRPr="00872F4A">
        <w:rPr>
          <w:b/>
          <w:color w:val="000000"/>
          <w:sz w:val="36"/>
          <w:szCs w:val="36"/>
        </w:rPr>
        <w:t>企业名单</w:t>
      </w:r>
    </w:p>
    <w:p w:rsidR="007C5C83" w:rsidRPr="00C174B8" w:rsidRDefault="00E36B19" w:rsidP="00E36B19">
      <w:pPr>
        <w:spacing w:before="300" w:line="360" w:lineRule="auto"/>
        <w:jc w:val="left"/>
        <w:rPr>
          <w:b/>
          <w:sz w:val="24"/>
        </w:rPr>
      </w:pPr>
      <w:bookmarkStart w:id="0" w:name="_GoBack"/>
      <w:bookmarkEnd w:id="0"/>
      <w:r w:rsidRPr="00C174B8">
        <w:rPr>
          <w:rFonts w:ascii="Times New Roman" w:eastAsia="仿宋_GB2312" w:hAnsi="Times New Roman" w:cs="Times New Roman"/>
          <w:b/>
          <w:color w:val="000000"/>
          <w:sz w:val="24"/>
          <w:lang/>
        </w:rPr>
        <w:t>火电行业</w:t>
      </w:r>
    </w:p>
    <w:tbl>
      <w:tblPr>
        <w:tblW w:w="8522" w:type="dxa"/>
        <w:tblLayout w:type="fixed"/>
        <w:tblLook w:val="04A0"/>
      </w:tblPr>
      <w:tblGrid>
        <w:gridCol w:w="724"/>
        <w:gridCol w:w="3337"/>
        <w:gridCol w:w="2938"/>
        <w:gridCol w:w="1523"/>
      </w:tblGrid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序号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单位名称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发电标煤耗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备注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国电宣威发电有限责任公司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323gce/kW·h</w:t>
            </w:r>
          </w:p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（亚临界</w:t>
            </w: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300MW</w:t>
            </w:r>
            <w:r>
              <w:rPr>
                <w:rFonts w:ascii="仿宋_GB2312" w:eastAsia="仿宋_GB2312" w:hAnsi="Times New Roman" w:cs="仿宋_GB2312"/>
                <w:b/>
                <w:szCs w:val="21"/>
                <w:lang/>
              </w:rPr>
              <w:t>机组</w:t>
            </w: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）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领跑者</w:t>
            </w:r>
          </w:p>
        </w:tc>
      </w:tr>
    </w:tbl>
    <w:p w:rsidR="007C5C83" w:rsidRDefault="00E36B19">
      <w:pPr>
        <w:spacing w:before="300" w:line="360" w:lineRule="auto"/>
        <w:jc w:val="left"/>
        <w:rPr>
          <w:b/>
          <w:szCs w:val="21"/>
        </w:rPr>
      </w:pPr>
      <w:r>
        <w:rPr>
          <w:rFonts w:ascii="Times New Roman" w:eastAsia="仿宋_GB2312" w:hAnsi="Times New Roman" w:cs="Times New Roman"/>
          <w:b/>
          <w:color w:val="000000"/>
          <w:szCs w:val="21"/>
          <w:lang/>
        </w:rPr>
        <w:t>钢铁行业</w:t>
      </w:r>
    </w:p>
    <w:tbl>
      <w:tblPr>
        <w:tblW w:w="8522" w:type="dxa"/>
        <w:tblLayout w:type="fixed"/>
        <w:tblLook w:val="04A0"/>
      </w:tblPr>
      <w:tblGrid>
        <w:gridCol w:w="724"/>
        <w:gridCol w:w="3337"/>
        <w:gridCol w:w="2938"/>
        <w:gridCol w:w="1523"/>
      </w:tblGrid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序号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单位名称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单位产品综合能耗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备注</w:t>
            </w:r>
          </w:p>
        </w:tc>
      </w:tr>
      <w:tr w:rsidR="007C5C83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高炉工序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武钢集团昆明钢铁股份有限公司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376kgce/t</w:t>
            </w: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2000m</w:t>
            </w:r>
            <w:r>
              <w:rPr>
                <w:rFonts w:ascii="Times New Roman" w:eastAsia="仿宋_GB2312" w:hAnsi="Times New Roman" w:cs="Times New Roman"/>
                <w:b/>
                <w:szCs w:val="21"/>
                <w:vertAlign w:val="superscript"/>
                <w:lang/>
              </w:rPr>
              <w:t>3</w:t>
            </w: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高炉）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领跑者</w:t>
            </w:r>
          </w:p>
        </w:tc>
      </w:tr>
      <w:tr w:rsidR="007C5C83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转炉工序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武钢集团昆明钢铁股份有限公司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-12.10kgce/t</w:t>
            </w: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120t</w:t>
            </w:r>
            <w:r>
              <w:rPr>
                <w:rFonts w:ascii="仿宋_GB2312" w:eastAsia="仿宋_GB2312" w:hAnsi="Times New Roman" w:cs="仿宋_GB2312"/>
                <w:b/>
                <w:szCs w:val="21"/>
                <w:lang/>
              </w:rPr>
              <w:t>转炉</w:t>
            </w: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）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领跑者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玉溪新兴钢铁有限公司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-10.89kgce/t</w:t>
            </w:r>
            <w:r>
              <w:rPr>
                <w:rFonts w:ascii="仿宋_GB2312" w:eastAsia="仿宋_GB2312" w:hAnsi="Times New Roman" w:cs="仿宋_GB2312"/>
                <w:b/>
                <w:szCs w:val="21"/>
                <w:lang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50t</w:t>
            </w:r>
            <w:r>
              <w:rPr>
                <w:rFonts w:ascii="仿宋_GB2312" w:eastAsia="仿宋_GB2312" w:hAnsi="Times New Roman" w:cs="仿宋_GB2312"/>
                <w:b/>
                <w:szCs w:val="21"/>
                <w:lang/>
              </w:rPr>
              <w:t>转炉）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入围企业</w:t>
            </w:r>
          </w:p>
        </w:tc>
      </w:tr>
    </w:tbl>
    <w:p w:rsidR="007C5C83" w:rsidRDefault="00E36B19">
      <w:pPr>
        <w:spacing w:before="300" w:line="360" w:lineRule="auto"/>
        <w:jc w:val="left"/>
        <w:rPr>
          <w:b/>
          <w:szCs w:val="21"/>
        </w:rPr>
      </w:pPr>
      <w:r>
        <w:rPr>
          <w:rFonts w:ascii="Times New Roman" w:eastAsia="仿宋_GB2312" w:hAnsi="Times New Roman" w:cs="Times New Roman"/>
          <w:b/>
          <w:color w:val="000000"/>
          <w:szCs w:val="21"/>
          <w:lang/>
        </w:rPr>
        <w:t>水泥行业</w:t>
      </w:r>
    </w:p>
    <w:tbl>
      <w:tblPr>
        <w:tblW w:w="8522" w:type="dxa"/>
        <w:tblLayout w:type="fixed"/>
        <w:tblLook w:val="04A0"/>
      </w:tblPr>
      <w:tblGrid>
        <w:gridCol w:w="724"/>
        <w:gridCol w:w="3337"/>
        <w:gridCol w:w="2938"/>
        <w:gridCol w:w="1523"/>
      </w:tblGrid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序号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单位名称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可比熟料综合能耗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备注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曲靖昆钢嘉华水泥建材有限公司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98.8kgce/t</w:t>
            </w:r>
            <w:r>
              <w:rPr>
                <w:rFonts w:ascii="仿宋_GB2312" w:eastAsia="仿宋_GB2312" w:hAnsi="Times New Roman" w:cs="仿宋_GB2312"/>
                <w:b/>
                <w:szCs w:val="21"/>
                <w:lang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4000t/d</w:t>
            </w:r>
            <w:r>
              <w:rPr>
                <w:rFonts w:ascii="仿宋_GB2312" w:eastAsia="仿宋_GB2312" w:hAnsi="Times New Roman" w:cs="仿宋_GB2312"/>
                <w:b/>
                <w:szCs w:val="21"/>
                <w:lang/>
              </w:rPr>
              <w:t>熟料）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领跑者</w:t>
            </w:r>
          </w:p>
        </w:tc>
      </w:tr>
    </w:tbl>
    <w:p w:rsidR="007C5C83" w:rsidRDefault="00E36B19">
      <w:pPr>
        <w:spacing w:before="300" w:line="378" w:lineRule="atLeast"/>
        <w:jc w:val="left"/>
        <w:rPr>
          <w:b/>
          <w:szCs w:val="21"/>
        </w:rPr>
      </w:pPr>
      <w:r>
        <w:rPr>
          <w:rFonts w:ascii="Times New Roman" w:eastAsia="仿宋_GB2312" w:hAnsi="Times New Roman" w:cs="Times New Roman"/>
          <w:b/>
          <w:color w:val="000000"/>
          <w:szCs w:val="21"/>
          <w:lang/>
        </w:rPr>
        <w:t>工业硅行业</w:t>
      </w:r>
    </w:p>
    <w:tbl>
      <w:tblPr>
        <w:tblW w:w="8522" w:type="dxa"/>
        <w:tblLayout w:type="fixed"/>
        <w:tblLook w:val="04A0"/>
      </w:tblPr>
      <w:tblGrid>
        <w:gridCol w:w="724"/>
        <w:gridCol w:w="3337"/>
        <w:gridCol w:w="2938"/>
        <w:gridCol w:w="1523"/>
      </w:tblGrid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序号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单位名称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单位产品综合能耗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备注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云南永昌硅业股份有限公司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3070.4kgce/t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领跑者</w:t>
            </w:r>
          </w:p>
        </w:tc>
      </w:tr>
    </w:tbl>
    <w:p w:rsidR="007C5C83" w:rsidRDefault="00E36B19">
      <w:pPr>
        <w:spacing w:before="300" w:line="360" w:lineRule="auto"/>
        <w:jc w:val="left"/>
        <w:rPr>
          <w:b/>
          <w:szCs w:val="21"/>
        </w:rPr>
      </w:pPr>
      <w:r>
        <w:rPr>
          <w:rFonts w:ascii="Times New Roman" w:eastAsia="仿宋_GB2312" w:hAnsi="Times New Roman" w:cs="Times New Roman"/>
          <w:b/>
          <w:color w:val="000000"/>
          <w:szCs w:val="21"/>
          <w:lang/>
        </w:rPr>
        <w:lastRenderedPageBreak/>
        <w:t>电解铝行业</w:t>
      </w:r>
    </w:p>
    <w:tbl>
      <w:tblPr>
        <w:tblW w:w="8522" w:type="dxa"/>
        <w:tblLayout w:type="fixed"/>
        <w:tblLook w:val="04A0"/>
      </w:tblPr>
      <w:tblGrid>
        <w:gridCol w:w="724"/>
        <w:gridCol w:w="3337"/>
        <w:gridCol w:w="2938"/>
        <w:gridCol w:w="1523"/>
      </w:tblGrid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序号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单位名称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铝液交流电耗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备注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云南铝业股份有限公司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12912kW·h/t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领跑者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云南云铝涌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铝业有限公司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13115kW·h/t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入围企业</w:t>
            </w:r>
          </w:p>
        </w:tc>
      </w:tr>
    </w:tbl>
    <w:p w:rsidR="007C5C83" w:rsidRDefault="00E36B19">
      <w:pPr>
        <w:spacing w:before="300" w:line="360" w:lineRule="auto"/>
        <w:jc w:val="left"/>
        <w:rPr>
          <w:b/>
          <w:szCs w:val="21"/>
        </w:rPr>
      </w:pPr>
      <w:r>
        <w:rPr>
          <w:rFonts w:ascii="Times New Roman" w:eastAsia="仿宋_GB2312" w:hAnsi="Times New Roman" w:cs="Times New Roman"/>
          <w:b/>
          <w:color w:val="000000"/>
          <w:szCs w:val="21"/>
          <w:lang/>
        </w:rPr>
        <w:t>白砂糖行业</w:t>
      </w:r>
    </w:p>
    <w:tbl>
      <w:tblPr>
        <w:tblW w:w="8522" w:type="dxa"/>
        <w:tblLayout w:type="fixed"/>
        <w:tblLook w:val="04A0"/>
      </w:tblPr>
      <w:tblGrid>
        <w:gridCol w:w="724"/>
        <w:gridCol w:w="3337"/>
        <w:gridCol w:w="2938"/>
        <w:gridCol w:w="1523"/>
      </w:tblGrid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序号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单位名称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单位产品综合能耗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备注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云南富宁永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鑫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糖业有限公司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302.9kgce/t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领跑者</w:t>
            </w:r>
          </w:p>
        </w:tc>
      </w:tr>
    </w:tbl>
    <w:p w:rsidR="007C5C83" w:rsidRDefault="00E36B19">
      <w:pPr>
        <w:spacing w:before="300" w:line="360" w:lineRule="auto"/>
        <w:jc w:val="left"/>
        <w:rPr>
          <w:b/>
          <w:szCs w:val="21"/>
        </w:rPr>
      </w:pPr>
      <w:r>
        <w:rPr>
          <w:rFonts w:ascii="Times New Roman" w:eastAsia="仿宋_GB2312" w:hAnsi="Times New Roman" w:cs="Times New Roman"/>
          <w:b/>
          <w:color w:val="000000"/>
          <w:szCs w:val="21"/>
          <w:lang/>
        </w:rPr>
        <w:t>卷烟行业</w:t>
      </w:r>
    </w:p>
    <w:tbl>
      <w:tblPr>
        <w:tblW w:w="8522" w:type="dxa"/>
        <w:tblLayout w:type="fixed"/>
        <w:tblLook w:val="04A0"/>
      </w:tblPr>
      <w:tblGrid>
        <w:gridCol w:w="724"/>
        <w:gridCol w:w="3662"/>
        <w:gridCol w:w="2613"/>
        <w:gridCol w:w="1523"/>
      </w:tblGrid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序号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单位名称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单位产品综合能耗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备注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红云红河烟草（集团）有限责任公司曲靖卷烟厂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2.036kgce/</w:t>
            </w:r>
            <w:r>
              <w:rPr>
                <w:rFonts w:ascii="仿宋_GB2312" w:eastAsia="仿宋_GB2312" w:hAnsi="Times New Roman" w:cs="仿宋_GB2312"/>
                <w:b/>
                <w:szCs w:val="21"/>
                <w:lang/>
              </w:rPr>
              <w:t>万支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领跑者</w:t>
            </w:r>
          </w:p>
        </w:tc>
      </w:tr>
    </w:tbl>
    <w:p w:rsidR="007C5C83" w:rsidRDefault="00E36B19">
      <w:pPr>
        <w:spacing w:before="300" w:line="360" w:lineRule="auto"/>
        <w:jc w:val="left"/>
        <w:rPr>
          <w:b/>
          <w:szCs w:val="21"/>
        </w:rPr>
      </w:pPr>
      <w:r>
        <w:rPr>
          <w:rFonts w:ascii="Times New Roman" w:eastAsia="仿宋_GB2312" w:hAnsi="Times New Roman" w:cs="Times New Roman"/>
          <w:b/>
          <w:color w:val="000000"/>
          <w:szCs w:val="21"/>
          <w:lang/>
        </w:rPr>
        <w:t>电石行业</w:t>
      </w:r>
    </w:p>
    <w:tbl>
      <w:tblPr>
        <w:tblW w:w="8522" w:type="dxa"/>
        <w:tblLayout w:type="fixed"/>
        <w:tblLook w:val="04A0"/>
      </w:tblPr>
      <w:tblGrid>
        <w:gridCol w:w="724"/>
        <w:gridCol w:w="3337"/>
        <w:gridCol w:w="2938"/>
        <w:gridCol w:w="1523"/>
      </w:tblGrid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序号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单位名称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单位产品综合能耗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备注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云南恒安电冶有限公司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0.927tce/t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领跑者</w:t>
            </w:r>
          </w:p>
        </w:tc>
      </w:tr>
    </w:tbl>
    <w:p w:rsidR="007C5C83" w:rsidRDefault="00E36B19">
      <w:pPr>
        <w:spacing w:before="300" w:line="360" w:lineRule="auto"/>
        <w:jc w:val="left"/>
        <w:rPr>
          <w:b/>
          <w:szCs w:val="21"/>
        </w:rPr>
      </w:pPr>
      <w:r>
        <w:rPr>
          <w:rFonts w:ascii="Times New Roman" w:eastAsia="仿宋_GB2312" w:hAnsi="Times New Roman" w:cs="Times New Roman"/>
          <w:b/>
          <w:color w:val="000000"/>
          <w:szCs w:val="21"/>
          <w:lang/>
        </w:rPr>
        <w:t>黄磷行业</w:t>
      </w:r>
    </w:p>
    <w:tbl>
      <w:tblPr>
        <w:tblW w:w="8522" w:type="dxa"/>
        <w:tblLayout w:type="fixed"/>
        <w:tblLook w:val="04A0"/>
      </w:tblPr>
      <w:tblGrid>
        <w:gridCol w:w="724"/>
        <w:gridCol w:w="3337"/>
        <w:gridCol w:w="2938"/>
        <w:gridCol w:w="1523"/>
      </w:tblGrid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序号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单位名称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单位产品综合能耗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备注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云南宣威磷电有限责任公司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2660kgce/t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领跑者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云南天安化工有限公司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2777kgce/t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入围企业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云南晋宁黄磷有限公司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2820kgce/t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入围企业</w:t>
            </w:r>
          </w:p>
        </w:tc>
      </w:tr>
    </w:tbl>
    <w:p w:rsidR="007C5C83" w:rsidRDefault="00E36B19">
      <w:pPr>
        <w:spacing w:before="300" w:line="360" w:lineRule="auto"/>
        <w:jc w:val="left"/>
        <w:rPr>
          <w:b/>
          <w:szCs w:val="21"/>
        </w:rPr>
      </w:pPr>
      <w:r>
        <w:rPr>
          <w:rFonts w:ascii="Times New Roman" w:eastAsia="仿宋_GB2312" w:hAnsi="Times New Roman" w:cs="Times New Roman"/>
          <w:b/>
          <w:color w:val="000000"/>
          <w:szCs w:val="21"/>
          <w:lang/>
        </w:rPr>
        <w:lastRenderedPageBreak/>
        <w:t>合成氨行业</w:t>
      </w:r>
    </w:p>
    <w:tbl>
      <w:tblPr>
        <w:tblW w:w="8522" w:type="dxa"/>
        <w:tblLayout w:type="fixed"/>
        <w:tblLook w:val="04A0"/>
      </w:tblPr>
      <w:tblGrid>
        <w:gridCol w:w="724"/>
        <w:gridCol w:w="3700"/>
        <w:gridCol w:w="2850"/>
        <w:gridCol w:w="1248"/>
      </w:tblGrid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序号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单位名称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单位产品综合能耗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备注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云南云天化股份有限公司云峰分公司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1182kgce/t</w:t>
            </w: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（原料类型：焦炭）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领跑者</w:t>
            </w:r>
          </w:p>
        </w:tc>
      </w:tr>
    </w:tbl>
    <w:p w:rsidR="007C5C83" w:rsidRDefault="00E36B19">
      <w:pPr>
        <w:spacing w:before="300" w:line="360" w:lineRule="auto"/>
        <w:jc w:val="left"/>
        <w:rPr>
          <w:b/>
          <w:szCs w:val="21"/>
        </w:rPr>
      </w:pPr>
      <w:r>
        <w:rPr>
          <w:rFonts w:ascii="Times New Roman" w:eastAsia="仿宋_GB2312" w:hAnsi="Times New Roman" w:cs="Times New Roman"/>
          <w:b/>
          <w:color w:val="000000"/>
          <w:szCs w:val="21"/>
          <w:lang/>
        </w:rPr>
        <w:t>磷铵行业</w:t>
      </w:r>
    </w:p>
    <w:tbl>
      <w:tblPr>
        <w:tblW w:w="8522" w:type="dxa"/>
        <w:tblLayout w:type="fixed"/>
        <w:tblLook w:val="04A0"/>
      </w:tblPr>
      <w:tblGrid>
        <w:gridCol w:w="724"/>
        <w:gridCol w:w="3747"/>
        <w:gridCol w:w="2528"/>
        <w:gridCol w:w="1523"/>
      </w:tblGrid>
      <w:tr w:rsidR="007C5C83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磷酸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铵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序号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单位名称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单位产品综合能耗</w:t>
            </w:r>
          </w:p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（传统法、粉状）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备注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云南云天化股份有限公司云峰分公司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219.0kgce/t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领跑者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云南三环化工有限公司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224.8kgce/t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入围企业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云南天安化工有限公司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225.0kgce/t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入围企业</w:t>
            </w:r>
          </w:p>
        </w:tc>
      </w:tr>
      <w:tr w:rsidR="007C5C83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磷酸二铵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序号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单位名称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单位产品综合能耗</w:t>
            </w:r>
          </w:p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（传统法、粒状）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备注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1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云南三环中化化肥有限公司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221.5kgce/t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领跑者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云南天安化工有限公司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224.0kgce/t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入围企业</w:t>
            </w:r>
          </w:p>
        </w:tc>
      </w:tr>
      <w:tr w:rsidR="007C5C8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3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云南三环化工有限公司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256.4kgce/t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83" w:rsidRDefault="00E36B19">
            <w:pPr>
              <w:wordWrap w:val="0"/>
              <w:spacing w:beforeAutospacing="1" w:afterAutospacing="1" w:line="360" w:lineRule="auto"/>
              <w:jc w:val="center"/>
              <w:rPr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Cs w:val="21"/>
                <w:lang/>
              </w:rPr>
              <w:t>入围企业</w:t>
            </w:r>
          </w:p>
        </w:tc>
      </w:tr>
    </w:tbl>
    <w:p w:rsidR="007C5C83" w:rsidRDefault="00E36B19">
      <w:pPr>
        <w:pStyle w:val="a3"/>
        <w:widowControl/>
        <w:spacing w:before="300" w:beforeAutospacing="0" w:afterAutospacing="0" w:line="378" w:lineRule="atLeast"/>
        <w:ind w:firstLine="420"/>
        <w:rPr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7C5C83" w:rsidRDefault="007C5C83"/>
    <w:sectPr w:rsidR="007C5C83" w:rsidSect="007C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7002C5"/>
    <w:rsid w:val="001935D7"/>
    <w:rsid w:val="001A6625"/>
    <w:rsid w:val="00272658"/>
    <w:rsid w:val="006C2262"/>
    <w:rsid w:val="007C5C83"/>
    <w:rsid w:val="00872F4A"/>
    <w:rsid w:val="009B45C1"/>
    <w:rsid w:val="00C174B8"/>
    <w:rsid w:val="00E36B19"/>
    <w:rsid w:val="00E5755F"/>
    <w:rsid w:val="497002C5"/>
    <w:rsid w:val="7962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C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7C5C83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C8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7C5C83"/>
    <w:rPr>
      <w:color w:val="333333"/>
      <w:u w:val="none"/>
    </w:rPr>
  </w:style>
  <w:style w:type="character" w:styleId="HTML">
    <w:name w:val="HTML Acronym"/>
    <w:basedOn w:val="a0"/>
    <w:rsid w:val="007C5C83"/>
    <w:rPr>
      <w:bdr w:val="none" w:sz="0" w:space="0" w:color="auto"/>
    </w:rPr>
  </w:style>
  <w:style w:type="character" w:styleId="a5">
    <w:name w:val="Hyperlink"/>
    <w:basedOn w:val="a0"/>
    <w:rsid w:val="007C5C83"/>
    <w:rPr>
      <w:color w:val="333333"/>
      <w:u w:val="none"/>
    </w:rPr>
  </w:style>
  <w:style w:type="character" w:customStyle="1" w:styleId="onlineplreplay1">
    <w:name w:val="onlinepl_replay1"/>
    <w:basedOn w:val="a0"/>
    <w:rsid w:val="007C5C83"/>
    <w:rPr>
      <w:bdr w:val="none" w:sz="0" w:space="0" w:color="auto"/>
    </w:rPr>
  </w:style>
  <w:style w:type="character" w:customStyle="1" w:styleId="onlineplreplay11">
    <w:name w:val="onlinepl_replay11"/>
    <w:basedOn w:val="a0"/>
    <w:rsid w:val="007C5C83"/>
    <w:rPr>
      <w:vanish/>
    </w:rPr>
  </w:style>
  <w:style w:type="character" w:customStyle="1" w:styleId="onlineplreplay12">
    <w:name w:val="onlinepl_replay12"/>
    <w:basedOn w:val="a0"/>
    <w:rsid w:val="007C5C83"/>
  </w:style>
  <w:style w:type="character" w:customStyle="1" w:styleId="onlineplreplay2">
    <w:name w:val="onlinepl_replay2"/>
    <w:basedOn w:val="a0"/>
    <w:rsid w:val="007C5C83"/>
  </w:style>
  <w:style w:type="character" w:customStyle="1" w:styleId="onlineplreplay21">
    <w:name w:val="onlinepl_replay21"/>
    <w:basedOn w:val="a0"/>
    <w:rsid w:val="007C5C83"/>
    <w:rPr>
      <w:bdr w:val="none" w:sz="0" w:space="0" w:color="auto"/>
    </w:rPr>
  </w:style>
  <w:style w:type="character" w:customStyle="1" w:styleId="onlineplreplay22">
    <w:name w:val="onlinepl_replay22"/>
    <w:basedOn w:val="a0"/>
    <w:rsid w:val="007C5C83"/>
    <w:rPr>
      <w:bdr w:val="none" w:sz="0" w:space="0" w:color="auto"/>
    </w:rPr>
  </w:style>
  <w:style w:type="character" w:customStyle="1" w:styleId="onlineplreplay3">
    <w:name w:val="onlinepl_replay3"/>
    <w:basedOn w:val="a0"/>
    <w:rsid w:val="007C5C83"/>
  </w:style>
  <w:style w:type="character" w:customStyle="1" w:styleId="current">
    <w:name w:val="current"/>
    <w:basedOn w:val="a0"/>
    <w:rsid w:val="007C5C83"/>
    <w:rPr>
      <w:b/>
      <w:color w:val="FFFFFF"/>
      <w:bdr w:val="single" w:sz="6" w:space="0" w:color="154FA0"/>
      <w:shd w:val="clear" w:color="auto" w:fill="154FA0"/>
    </w:rPr>
  </w:style>
  <w:style w:type="character" w:customStyle="1" w:styleId="disabled">
    <w:name w:val="disabled"/>
    <w:basedOn w:val="a0"/>
    <w:rsid w:val="007C5C83"/>
    <w:rPr>
      <w:color w:val="999999"/>
      <w:bdr w:val="single" w:sz="6" w:space="0" w:color="C5C5C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</cp:lastModifiedBy>
  <cp:revision>6</cp:revision>
  <dcterms:created xsi:type="dcterms:W3CDTF">2016-10-18T03:03:00Z</dcterms:created>
  <dcterms:modified xsi:type="dcterms:W3CDTF">2016-10-18T03:04:00Z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